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val="0"/>
        <w:spacing w:line="540" w:lineRule="exact"/>
        <w:ind w:firstLine="640" w:firstLineChars="200"/>
        <w:jc w:val="center"/>
        <w:textAlignment w:val="auto"/>
        <w:rPr>
          <w:rStyle w:val="11"/>
          <w:rFonts w:hint="eastAsia" w:ascii="黑体" w:hAnsi="黑体" w:eastAsia="黑体" w:cs="黑体"/>
          <w:b w:val="0"/>
          <w:bCs/>
          <w:color w:val="auto"/>
          <w:sz w:val="32"/>
          <w:szCs w:val="32"/>
          <w:highlight w:val="none"/>
          <w:lang w:val="en-US" w:eastAsia="zh-CN"/>
        </w:rPr>
      </w:pPr>
      <w:r>
        <w:rPr>
          <w:rStyle w:val="11"/>
          <w:rFonts w:hint="eastAsia" w:ascii="黑体" w:hAnsi="黑体" w:eastAsia="黑体" w:cs="黑体"/>
          <w:b w:val="0"/>
          <w:bCs/>
          <w:color w:val="auto"/>
          <w:sz w:val="32"/>
          <w:szCs w:val="32"/>
          <w:highlight w:val="none"/>
          <w:lang w:val="en-US" w:eastAsia="zh-CN"/>
        </w:rPr>
        <w:t>四川省珍稀特有鱼类保护与利用中心基本存款账户和单位零余额存款账户开户比选邀请</w:t>
      </w:r>
    </w:p>
    <w:p>
      <w:pPr>
        <w:pStyle w:val="2"/>
        <w:keepNext w:val="0"/>
        <w:keepLines w:val="0"/>
        <w:pageBreakBefore w:val="0"/>
        <w:widowControl w:val="0"/>
        <w:kinsoku/>
        <w:wordWrap/>
        <w:overflowPunct/>
        <w:topLinePunct w:val="0"/>
        <w:bidi w:val="0"/>
        <w:adjustRightInd/>
        <w:snapToGrid w:val="0"/>
        <w:spacing w:line="540" w:lineRule="exact"/>
        <w:ind w:firstLine="602" w:firstLineChars="200"/>
        <w:textAlignment w:val="auto"/>
        <w:rPr>
          <w:rStyle w:val="11"/>
          <w:rFonts w:hint="eastAsia" w:ascii="黑体" w:hAnsi="黑体" w:eastAsia="黑体" w:cs="黑体"/>
          <w:color w:val="auto"/>
          <w:sz w:val="30"/>
          <w:szCs w:val="30"/>
          <w:highlight w:val="none"/>
          <w:lang w:val="en-US" w:eastAsia="zh-CN"/>
        </w:rPr>
      </w:pPr>
    </w:p>
    <w:p>
      <w:pPr>
        <w:pStyle w:val="2"/>
        <w:keepNext w:val="0"/>
        <w:keepLines w:val="0"/>
        <w:pageBreakBefore w:val="0"/>
        <w:widowControl w:val="0"/>
        <w:kinsoku/>
        <w:wordWrap/>
        <w:overflowPunct/>
        <w:topLinePunct w:val="0"/>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rPr>
      </w:pPr>
      <w:r>
        <w:rPr>
          <w:rStyle w:val="11"/>
          <w:rFonts w:hint="eastAsia" w:ascii="仿宋" w:hAnsi="仿宋" w:eastAsia="仿宋" w:cs="仿宋"/>
          <w:b w:val="0"/>
          <w:bCs/>
          <w:color w:val="auto"/>
          <w:sz w:val="30"/>
          <w:szCs w:val="30"/>
          <w:highlight w:val="none"/>
          <w:lang w:val="en-US" w:eastAsia="zh-CN"/>
        </w:rPr>
        <w:t>根据《四川省财政部门和预算单位资金存放管理实施办法》（川财规[2018]17号）、《四川省省级预算单位银行账户管理办法》（川财库[2021]15号）等文件要求，四川省珍稀特有鱼类保护与利用中心拟通过集体决策方式对基本存款账户和单位零余额存款账户开户银行进行比选，特邀请符合本项目要求的银行业金融机构参与。</w:t>
      </w:r>
    </w:p>
    <w:p>
      <w:pPr>
        <w:pStyle w:val="2"/>
        <w:keepNext w:val="0"/>
        <w:keepLines w:val="0"/>
        <w:pageBreakBefore w:val="0"/>
        <w:widowControl w:val="0"/>
        <w:numPr>
          <w:ilvl w:val="0"/>
          <w:numId w:val="1"/>
        </w:numPr>
        <w:kinsoku/>
        <w:wordWrap/>
        <w:overflowPunct/>
        <w:topLinePunct w:val="0"/>
        <w:bidi w:val="0"/>
        <w:adjustRightInd/>
        <w:snapToGrid w:val="0"/>
        <w:spacing w:line="540" w:lineRule="exact"/>
        <w:ind w:left="150" w:leftChars="0" w:firstLine="600" w:firstLineChars="200"/>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项目名称</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left="150" w:leftChars="0"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Style w:val="11"/>
          <w:rFonts w:hint="eastAsia" w:ascii="仿宋" w:hAnsi="仿宋" w:eastAsia="仿宋" w:cs="仿宋"/>
          <w:b w:val="0"/>
          <w:bCs/>
          <w:color w:val="auto"/>
          <w:sz w:val="30"/>
          <w:szCs w:val="30"/>
          <w:highlight w:val="none"/>
          <w:lang w:val="en-US" w:eastAsia="zh-CN" w:bidi="ar-SA"/>
        </w:rPr>
        <w:t>四川省珍稀特有鱼类保护与利用中心基本存款账户和单位零余额存款账户开户比选项目。</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二、项目内容</w:t>
      </w:r>
    </w:p>
    <w:p>
      <w:pPr>
        <w:pStyle w:val="5"/>
        <w:keepNext w:val="0"/>
        <w:keepLines w:val="0"/>
        <w:pageBreakBefore w:val="0"/>
        <w:widowControl w:val="0"/>
        <w:kinsoku/>
        <w:wordWrap/>
        <w:overflowPunct/>
        <w:topLinePunct w:val="0"/>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Style w:val="11"/>
          <w:rFonts w:hint="eastAsia" w:ascii="仿宋" w:hAnsi="仿宋" w:eastAsia="仿宋" w:cs="仿宋"/>
          <w:b w:val="0"/>
          <w:bCs/>
          <w:color w:val="auto"/>
          <w:sz w:val="30"/>
          <w:szCs w:val="30"/>
          <w:highlight w:val="none"/>
          <w:lang w:val="en-US" w:eastAsia="zh-CN" w:bidi="ar-SA"/>
        </w:rPr>
        <w:t>拟通过集体决策方式，选择一家位于崇州市城内的银行作为我单位四川省珍稀特有鱼类保护与利用中心基本存款账户和单位零余额存款账户的开户银行。</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三、参与银行基本资格要求</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eastAsia="zh-CN"/>
        </w:rPr>
        <w:t>（一）参与银行须在</w:t>
      </w:r>
      <w:r>
        <w:rPr>
          <w:rFonts w:hint="eastAsia" w:ascii="仿宋" w:hAnsi="仿宋" w:eastAsia="仿宋" w:cs="仿宋"/>
          <w:b w:val="0"/>
          <w:bCs w:val="0"/>
          <w:color w:val="auto"/>
          <w:sz w:val="30"/>
          <w:szCs w:val="30"/>
          <w:highlight w:val="none"/>
          <w:lang w:val="en-US" w:eastAsia="zh-CN"/>
        </w:rPr>
        <w:t>崇州市</w:t>
      </w:r>
      <w:r>
        <w:rPr>
          <w:rFonts w:hint="eastAsia" w:ascii="仿宋" w:hAnsi="仿宋" w:eastAsia="仿宋" w:cs="仿宋"/>
          <w:b w:val="0"/>
          <w:bCs w:val="0"/>
          <w:color w:val="auto"/>
          <w:sz w:val="30"/>
          <w:szCs w:val="30"/>
          <w:highlight w:val="none"/>
          <w:lang w:eastAsia="zh-CN"/>
        </w:rPr>
        <w:t>城区。</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eastAsia="zh-CN"/>
        </w:rPr>
        <w:t>（二）依法开展经营活动，近3年内在经营活动中无违法和重大违规记录，且最近年度在当地人民银行分支机构综合评价等级为B等及以上。</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eastAsia="zh-CN"/>
        </w:rPr>
        <w:t>（三）财务稳健，资本充足率、不良贷款率、拨备覆盖率、流动性覆盖率、流动性比例等指标达到监管标准。</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val="en-US" w:eastAsia="zh-CN"/>
        </w:rPr>
        <w:t>（四）</w:t>
      </w:r>
      <w:r>
        <w:rPr>
          <w:rFonts w:hint="eastAsia" w:ascii="仿宋" w:hAnsi="仿宋" w:eastAsia="仿宋" w:cs="仿宋"/>
          <w:b w:val="0"/>
          <w:bCs w:val="0"/>
          <w:color w:val="auto"/>
          <w:sz w:val="30"/>
          <w:szCs w:val="30"/>
          <w:highlight w:val="none"/>
          <w:lang w:eastAsia="zh-CN"/>
        </w:rPr>
        <w:t>内部管理机制健全，具有较强的风险控制能力，近3年内未发生金融风险及重大违约事件。</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eastAsia="zh-CN"/>
        </w:rPr>
        <w:t>（五）能够保证内部网络系统的安全性，并承担自身网络系统安全问题方面的相关责任。</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Fonts w:hint="eastAsia" w:ascii="仿宋" w:hAnsi="仿宋" w:eastAsia="仿宋" w:cs="仿宋"/>
          <w:b w:val="0"/>
          <w:bCs w:val="0"/>
          <w:color w:val="auto"/>
          <w:sz w:val="30"/>
          <w:szCs w:val="30"/>
          <w:highlight w:val="none"/>
          <w:lang w:eastAsia="zh-CN"/>
        </w:rPr>
        <w:t>（六）能够保证及时、高效、安全的完成各项对公业务。</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（七）参与银行需提供廉政承诺书。</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（八）一家银行仅限一个机构报名参与本项目。</w:t>
      </w:r>
    </w:p>
    <w:p>
      <w:pPr>
        <w:pStyle w:val="2"/>
        <w:keepNext w:val="0"/>
        <w:keepLines w:val="0"/>
        <w:pageBreakBefore w:val="0"/>
        <w:widowControl w:val="0"/>
        <w:numPr>
          <w:ilvl w:val="0"/>
          <w:numId w:val="0"/>
        </w:numPr>
        <w:kinsoku/>
        <w:wordWrap/>
        <w:overflowPunct/>
        <w:topLinePunct w:val="0"/>
        <w:bidi w:val="0"/>
        <w:adjustRightInd/>
        <w:snapToGrid w:val="0"/>
        <w:spacing w:line="540"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（九）不接受联合体申请。</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黑体" w:hAnsi="黑体" w:eastAsia="黑体" w:cs="黑体"/>
          <w:sz w:val="28"/>
          <w:szCs w:val="28"/>
          <w:lang w:val="en-US" w:eastAsia="zh-CN"/>
        </w:rPr>
      </w:pPr>
      <w:r>
        <w:rPr>
          <w:rStyle w:val="11"/>
          <w:rFonts w:hint="eastAsia" w:ascii="黑体" w:hAnsi="黑体" w:eastAsia="黑体" w:cs="黑体"/>
          <w:b w:val="0"/>
          <w:bCs/>
          <w:color w:val="auto"/>
          <w:sz w:val="30"/>
          <w:szCs w:val="30"/>
          <w:highlight w:val="none"/>
          <w:lang w:val="en-US" w:eastAsia="zh-CN" w:bidi="ar-SA"/>
        </w:rPr>
        <w:t>四、</w:t>
      </w:r>
      <w:r>
        <w:rPr>
          <w:rFonts w:hint="eastAsia" w:ascii="黑体" w:hAnsi="黑体" w:eastAsia="黑体" w:cs="黑体"/>
          <w:sz w:val="28"/>
          <w:szCs w:val="28"/>
          <w:lang w:val="en-US" w:eastAsia="zh-CN"/>
        </w:rPr>
        <w:t>评分标准</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（一）参选银行性质</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参选银行为中央四大行（中、农、工、建）的得20分，其余银行得10分。</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（二）与银行合作历史情况</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根据参选银行是否与四川省农业农村厅及下属单位有合作判断，有得20分，无得10分。</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（三）服务机构便捷性</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参选银行离项目地点距离：经营性分支机构营业厅（ATM等自助终端除外）≤1公里得20分，每增加1公里扣4分，扣完为止。</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（四）支付结算服务水平</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是否接入财政一体化平台，有得20分，无不得分。</w:t>
      </w:r>
    </w:p>
    <w:p>
      <w:pPr>
        <w:pStyle w:val="2"/>
        <w:keepNext w:val="0"/>
        <w:keepLines w:val="0"/>
        <w:pageBreakBefore w:val="0"/>
        <w:widowControl w:val="0"/>
        <w:numPr>
          <w:ilvl w:val="0"/>
          <w:numId w:val="0"/>
        </w:numPr>
        <w:kinsoku/>
        <w:wordWrap/>
        <w:overflowPunct/>
        <w:topLinePunct w:val="0"/>
        <w:bidi w:val="0"/>
        <w:snapToGrid/>
        <w:ind w:firstLine="600" w:firstLineChars="200"/>
        <w:textAlignment w:val="auto"/>
        <w:rPr>
          <w:rFonts w:hint="eastAsia"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（五）服务响应速度</w:t>
      </w:r>
    </w:p>
    <w:p>
      <w:pPr>
        <w:pStyle w:val="2"/>
        <w:keepNext w:val="0"/>
        <w:keepLines w:val="0"/>
        <w:pageBreakBefore w:val="0"/>
        <w:widowControl w:val="0"/>
        <w:numPr>
          <w:ilvl w:val="0"/>
          <w:numId w:val="0"/>
        </w:numPr>
        <w:kinsoku/>
        <w:wordWrap/>
        <w:overflowPunct/>
        <w:topLinePunct w:val="0"/>
        <w:bidi w:val="0"/>
        <w:snapToGrid/>
        <w:ind w:firstLine="600" w:firstLineChars="200"/>
        <w:textAlignment w:val="auto"/>
        <w:rPr>
          <w:rFonts w:hint="default"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能快速响应，并能提供针对性上门服务的得20分；快速响应较好，提供针对性上门服务较好的得10分；快速响应一般，提供针对性上门服务一般的得5分。</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b w:val="0"/>
          <w:bCs w:val="0"/>
          <w:color w:val="auto"/>
          <w:kern w:val="0"/>
          <w:sz w:val="30"/>
          <w:szCs w:val="30"/>
          <w:highlight w:val="none"/>
          <w:lang w:val="en-US" w:eastAsia="zh-CN" w:bidi="ar-SA"/>
        </w:rPr>
      </w:pPr>
      <w:r>
        <w:rPr>
          <w:rFonts w:hint="eastAsia" w:ascii="仿宋" w:hAnsi="仿宋" w:eastAsia="仿宋" w:cs="仿宋"/>
          <w:b w:val="0"/>
          <w:bCs w:val="0"/>
          <w:color w:val="auto"/>
          <w:kern w:val="0"/>
          <w:sz w:val="30"/>
          <w:szCs w:val="30"/>
          <w:highlight w:val="none"/>
          <w:lang w:val="en-US" w:eastAsia="zh-CN" w:bidi="ar-SA"/>
        </w:rPr>
        <w:t>最终结果按综合得分最高者中标的原则确定中标单位。</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Style w:val="11"/>
          <w:rFonts w:hint="eastAsia" w:ascii="仿宋" w:hAnsi="仿宋" w:eastAsia="仿宋" w:cs="仿宋"/>
          <w:b w:val="0"/>
          <w:bCs/>
          <w:color w:val="auto"/>
          <w:sz w:val="30"/>
          <w:szCs w:val="30"/>
          <w:highlight w:val="none"/>
          <w:lang w:val="en-US" w:eastAsia="zh-CN" w:bidi="ar-SA"/>
        </w:rPr>
      </w:pPr>
      <w:r>
        <w:rPr>
          <w:rFonts w:hint="eastAsia" w:ascii="黑体" w:hAnsi="黑体" w:eastAsia="黑体" w:cs="黑体"/>
          <w:sz w:val="28"/>
          <w:szCs w:val="28"/>
          <w:lang w:val="en-US" w:eastAsia="zh-CN"/>
        </w:rPr>
        <w:t>五</w:t>
      </w:r>
      <w:r>
        <w:rPr>
          <w:rFonts w:hint="eastAsia" w:ascii="黑体" w:hAnsi="黑体" w:eastAsia="黑体" w:cs="黑体"/>
          <w:sz w:val="28"/>
          <w:szCs w:val="28"/>
        </w:rPr>
        <w:t>、程序</w:t>
      </w:r>
    </w:p>
    <w:p>
      <w:pPr>
        <w:keepNext w:val="0"/>
        <w:keepLines w:val="0"/>
        <w:pageBreakBefore w:val="0"/>
        <w:widowControl w:val="0"/>
        <w:kinsoku/>
        <w:wordWrap/>
        <w:overflowPunct/>
        <w:topLinePunct w:val="0"/>
        <w:bidi w:val="0"/>
        <w:adjustRightInd/>
        <w:snapToGrid w:val="0"/>
        <w:spacing w:line="540" w:lineRule="exact"/>
        <w:ind w:firstLine="600" w:firstLineChars="200"/>
        <w:textAlignment w:val="auto"/>
        <w:rPr>
          <w:sz w:val="32"/>
          <w:szCs w:val="32"/>
        </w:rPr>
      </w:pPr>
      <w:r>
        <w:rPr>
          <w:rStyle w:val="11"/>
          <w:rFonts w:hint="eastAsia" w:ascii="仿宋" w:hAnsi="仿宋" w:eastAsia="仿宋" w:cs="仿宋"/>
          <w:b w:val="0"/>
          <w:bCs/>
          <w:color w:val="auto"/>
          <w:sz w:val="30"/>
          <w:szCs w:val="30"/>
          <w:highlight w:val="none"/>
          <w:lang w:val="en-US" w:eastAsia="zh-CN" w:bidi="ar-SA"/>
        </w:rPr>
        <w:t>参选单位自本公告发布之日起2个工作日内将报名表（见附件）和报名资料扫描件发送至邮箱：</w:t>
      </w:r>
      <w:r>
        <w:rPr>
          <w:rStyle w:val="11"/>
          <w:rFonts w:hint="eastAsia" w:ascii="仿宋" w:hAnsi="仿宋" w:eastAsia="仿宋" w:cs="仿宋"/>
          <w:b w:val="0"/>
          <w:bCs/>
          <w:color w:val="auto"/>
          <w:sz w:val="30"/>
          <w:szCs w:val="30"/>
          <w:highlight w:val="none"/>
          <w:lang w:val="en-US" w:eastAsia="zh-CN" w:bidi="ar-SA"/>
        </w:rPr>
        <w:fldChar w:fldCharType="begin"/>
      </w:r>
      <w:r>
        <w:rPr>
          <w:rStyle w:val="11"/>
          <w:rFonts w:hint="eastAsia" w:ascii="仿宋" w:hAnsi="仿宋" w:eastAsia="仿宋" w:cs="仿宋"/>
          <w:b w:val="0"/>
          <w:bCs/>
          <w:color w:val="auto"/>
          <w:sz w:val="30"/>
          <w:szCs w:val="30"/>
          <w:highlight w:val="none"/>
          <w:lang w:val="en-US" w:eastAsia="zh-CN" w:bidi="ar-SA"/>
        </w:rPr>
        <w:instrText xml:space="preserve"> HYPERLINK "mailto:383890873@qq.com。" </w:instrText>
      </w:r>
      <w:r>
        <w:rPr>
          <w:rStyle w:val="11"/>
          <w:rFonts w:hint="eastAsia" w:ascii="仿宋" w:hAnsi="仿宋" w:eastAsia="仿宋" w:cs="仿宋"/>
          <w:b w:val="0"/>
          <w:bCs/>
          <w:color w:val="auto"/>
          <w:sz w:val="30"/>
          <w:szCs w:val="30"/>
          <w:highlight w:val="none"/>
          <w:lang w:val="en-US" w:eastAsia="zh-CN" w:bidi="ar-SA"/>
        </w:rPr>
        <w:fldChar w:fldCharType="separate"/>
      </w:r>
      <w:r>
        <w:rPr>
          <w:rStyle w:val="11"/>
          <w:rFonts w:hint="eastAsia" w:ascii="仿宋" w:hAnsi="仿宋" w:eastAsia="仿宋" w:cs="仿宋"/>
          <w:b w:val="0"/>
          <w:bCs/>
          <w:color w:val="auto"/>
          <w:sz w:val="30"/>
          <w:szCs w:val="30"/>
          <w:highlight w:val="none"/>
          <w:lang w:val="en-US" w:eastAsia="zh-CN" w:bidi="ar-SA"/>
        </w:rPr>
        <w:t>383890873@qq.com</w:t>
      </w:r>
      <w:r>
        <w:rPr>
          <w:rStyle w:val="11"/>
          <w:rFonts w:hint="eastAsia" w:ascii="仿宋" w:hAnsi="仿宋" w:eastAsia="仿宋" w:cs="仿宋"/>
          <w:b w:val="0"/>
          <w:bCs/>
          <w:color w:val="auto"/>
          <w:sz w:val="30"/>
          <w:szCs w:val="30"/>
          <w:highlight w:val="none"/>
          <w:lang w:val="en-US" w:eastAsia="zh-CN" w:bidi="ar-SA"/>
        </w:rPr>
        <w:fldChar w:fldCharType="end"/>
      </w:r>
      <w:r>
        <w:rPr>
          <w:rStyle w:val="11"/>
          <w:rFonts w:hint="eastAsia" w:ascii="仿宋" w:hAnsi="仿宋" w:eastAsia="仿宋" w:cs="仿宋"/>
          <w:b w:val="0"/>
          <w:bCs/>
          <w:color w:val="auto"/>
          <w:sz w:val="30"/>
          <w:szCs w:val="30"/>
          <w:highlight w:val="none"/>
          <w:lang w:val="en-US" w:eastAsia="zh-CN" w:bidi="ar-SA"/>
        </w:rPr>
        <w:t>，超过时间不予受理。报名资料包括单位介绍信（原件）、经办人身份证（加盖鲜章的复印件）、营业执照（加盖鲜章的复印件）、提供信息真实性承诺书和相关</w:t>
      </w:r>
      <w:r>
        <w:rPr>
          <w:rFonts w:hint="eastAsia" w:ascii="方正仿宋_GBK" w:hAnsi="方正仿宋_GBK" w:eastAsia="方正仿宋_GBK" w:cs="方正仿宋_GBK"/>
          <w:sz w:val="28"/>
          <w:szCs w:val="28"/>
        </w:rPr>
        <w:t>证明材料</w:t>
      </w:r>
      <w:r>
        <w:rPr>
          <w:rStyle w:val="11"/>
          <w:rFonts w:hint="eastAsia" w:ascii="仿宋" w:hAnsi="仿宋" w:eastAsia="仿宋" w:cs="仿宋"/>
          <w:b w:val="0"/>
          <w:bCs/>
          <w:color w:val="auto"/>
          <w:sz w:val="30"/>
          <w:szCs w:val="30"/>
          <w:highlight w:val="none"/>
          <w:lang w:val="en-US" w:eastAsia="zh-CN" w:bidi="ar-SA"/>
        </w:rPr>
        <w:t>等</w:t>
      </w:r>
      <w:r>
        <w:rPr>
          <w:rFonts w:hint="eastAsia"/>
          <w:sz w:val="32"/>
          <w:szCs w:val="32"/>
        </w:rPr>
        <w:t>。</w:t>
      </w:r>
    </w:p>
    <w:p>
      <w:pPr>
        <w:keepNext w:val="0"/>
        <w:keepLines w:val="0"/>
        <w:pageBreakBefore w:val="0"/>
        <w:widowControl w:val="0"/>
        <w:kinsoku/>
        <w:wordWrap/>
        <w:overflowPunct/>
        <w:topLinePunct w:val="0"/>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Style w:val="11"/>
          <w:rFonts w:hint="eastAsia" w:ascii="仿宋" w:hAnsi="仿宋" w:eastAsia="仿宋" w:cs="仿宋"/>
          <w:b w:val="0"/>
          <w:bCs/>
          <w:color w:val="auto"/>
          <w:sz w:val="30"/>
          <w:szCs w:val="30"/>
          <w:highlight w:val="none"/>
          <w:lang w:val="en-US" w:eastAsia="zh-CN" w:bidi="ar-SA"/>
        </w:rPr>
        <w:t>参选银行提供的资料须真实、完整、有效，未按要求提供资料代理机构不予受理，提供资料中出现虚假、错误信息等所带来的后果由参与银行自行承担。参与银行需在递交比选申请文件当日将以上报名资料原件与响应文件一同递交。</w:t>
      </w:r>
    </w:p>
    <w:p>
      <w:pPr>
        <w:keepNext w:val="0"/>
        <w:keepLines w:val="0"/>
        <w:pageBreakBefore w:val="0"/>
        <w:widowControl w:val="0"/>
        <w:kinsoku/>
        <w:wordWrap/>
        <w:overflowPunct/>
        <w:topLinePunct w:val="0"/>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六、</w:t>
      </w:r>
      <w:r>
        <w:rPr>
          <w:rStyle w:val="11"/>
          <w:rFonts w:hint="eastAsia" w:ascii="黑体" w:hAnsi="黑体" w:eastAsia="黑体" w:cs="黑体"/>
          <w:b w:val="0"/>
          <w:bCs/>
          <w:color w:val="auto"/>
          <w:kern w:val="0"/>
          <w:sz w:val="30"/>
          <w:szCs w:val="30"/>
          <w:highlight w:val="none"/>
          <w:lang w:val="en-US" w:eastAsia="zh-CN" w:bidi="ar-SA"/>
        </w:rPr>
        <w:t>递交响应文件截止时间及地点：</w:t>
      </w:r>
      <w:r>
        <w:rPr>
          <w:rStyle w:val="11"/>
          <w:rFonts w:hint="eastAsia" w:ascii="仿宋" w:hAnsi="仿宋" w:eastAsia="仿宋" w:cs="仿宋"/>
          <w:b w:val="0"/>
          <w:bCs/>
          <w:color w:val="auto"/>
          <w:sz w:val="30"/>
          <w:szCs w:val="30"/>
          <w:highlight w:val="none"/>
          <w:lang w:val="en-US" w:eastAsia="zh-CN" w:bidi="ar-SA"/>
        </w:rPr>
        <w:t>参与银行必须在2022年5月25日10:00（北京时间）前，将响应文件送达四川省珍稀特有鱼类保护与利用中心(崇州市隆兴镇文锦社区水产科技园区）。逾期送达或没有密封的响应文件不予接收。本次项目不接受邮寄的响应文件。</w:t>
      </w: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Style w:val="11"/>
          <w:rFonts w:hint="default" w:ascii="黑体" w:hAnsi="黑体" w:eastAsia="黑体" w:cs="黑体"/>
          <w:b w:val="0"/>
          <w:bCs/>
          <w:color w:val="auto"/>
          <w:kern w:val="0"/>
          <w:sz w:val="30"/>
          <w:szCs w:val="30"/>
          <w:highlight w:val="none"/>
          <w:lang w:val="en-US" w:eastAsia="zh-CN" w:bidi="ar-SA"/>
        </w:rPr>
      </w:pPr>
      <w:r>
        <w:rPr>
          <w:rStyle w:val="11"/>
          <w:rFonts w:hint="eastAsia" w:ascii="黑体" w:hAnsi="黑体" w:eastAsia="黑体" w:cs="黑体"/>
          <w:b w:val="0"/>
          <w:bCs/>
          <w:color w:val="auto"/>
          <w:kern w:val="0"/>
          <w:sz w:val="30"/>
          <w:szCs w:val="30"/>
          <w:highlight w:val="none"/>
          <w:lang w:val="en-US" w:eastAsia="zh-CN" w:bidi="ar-SA"/>
        </w:rPr>
        <w:t>七、本次评选信息和评选结果信息在四川省水产局官网（http：//www.scssj.cn/）进行公示，不再另行通知。</w:t>
      </w:r>
    </w:p>
    <w:p>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八、联系方式</w:t>
      </w:r>
    </w:p>
    <w:p>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Style w:val="11"/>
          <w:rFonts w:hint="eastAsia" w:ascii="仿宋" w:hAnsi="仿宋" w:eastAsia="仿宋" w:cs="仿宋"/>
          <w:b w:val="0"/>
          <w:bCs/>
          <w:color w:val="auto"/>
          <w:sz w:val="30"/>
          <w:szCs w:val="30"/>
          <w:highlight w:val="none"/>
          <w:lang w:val="en-US" w:eastAsia="zh-CN" w:bidi="ar-SA"/>
        </w:rPr>
        <w:t>地址：崇州市隆兴镇</w:t>
      </w:r>
    </w:p>
    <w:p>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Style w:val="11"/>
          <w:rFonts w:hint="eastAsia" w:ascii="仿宋" w:hAnsi="仿宋" w:eastAsia="仿宋" w:cs="仿宋"/>
          <w:b w:val="0"/>
          <w:bCs/>
          <w:color w:val="auto"/>
          <w:sz w:val="30"/>
          <w:szCs w:val="30"/>
          <w:highlight w:val="none"/>
          <w:lang w:val="en-US" w:eastAsia="zh-CN" w:bidi="ar-SA"/>
        </w:rPr>
        <w:t>联系人：唐亚丽</w:t>
      </w:r>
    </w:p>
    <w:p>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r>
        <w:rPr>
          <w:rStyle w:val="11"/>
          <w:rFonts w:hint="eastAsia" w:ascii="仿宋" w:hAnsi="仿宋" w:eastAsia="仿宋" w:cs="仿宋"/>
          <w:b w:val="0"/>
          <w:bCs/>
          <w:color w:val="auto"/>
          <w:sz w:val="30"/>
          <w:szCs w:val="30"/>
          <w:highlight w:val="none"/>
          <w:lang w:val="en-US" w:eastAsia="zh-CN" w:bidi="ar-SA"/>
        </w:rPr>
        <w:t>电话：028-82264769 邮箱：383890873@qq.com</w:t>
      </w:r>
    </w:p>
    <w:p>
      <w:pPr>
        <w:keepNext w:val="0"/>
        <w:keepLines w:val="0"/>
        <w:pageBreakBefore w:val="0"/>
        <w:widowControl w:val="0"/>
        <w:kinsoku/>
        <w:wordWrap/>
        <w:overflowPunct/>
        <w:topLinePunct w:val="0"/>
        <w:bidi w:val="0"/>
        <w:adjustRightInd/>
        <w:snapToGrid w:val="0"/>
        <w:spacing w:line="540" w:lineRule="exact"/>
        <w:ind w:firstLine="600" w:firstLineChars="200"/>
        <w:textAlignment w:val="auto"/>
        <w:rPr>
          <w:rStyle w:val="11"/>
          <w:rFonts w:hint="eastAsia" w:ascii="仿宋" w:hAnsi="仿宋" w:eastAsia="仿宋" w:cs="仿宋"/>
          <w:b w:val="0"/>
          <w:bCs/>
          <w:color w:val="auto"/>
          <w:sz w:val="30"/>
          <w:szCs w:val="30"/>
          <w:highlight w:val="none"/>
          <w:lang w:val="en-US" w:eastAsia="zh-CN" w:bidi="ar-SA"/>
        </w:rPr>
      </w:pPr>
    </w:p>
    <w:p>
      <w:pPr>
        <w:keepNext w:val="0"/>
        <w:keepLines w:val="0"/>
        <w:pageBreakBefore w:val="0"/>
        <w:widowControl w:val="0"/>
        <w:kinsoku/>
        <w:wordWrap/>
        <w:overflowPunct/>
        <w:topLinePunct w:val="0"/>
        <w:bidi w:val="0"/>
        <w:adjustRightInd/>
        <w:snapToGrid w:val="0"/>
        <w:spacing w:line="540" w:lineRule="exact"/>
        <w:textAlignment w:val="auto"/>
        <w:rPr>
          <w:rStyle w:val="11"/>
          <w:rFonts w:hint="eastAsia" w:ascii="黑体" w:hAnsi="黑体" w:eastAsia="黑体" w:cs="黑体"/>
          <w:b w:val="0"/>
          <w:bCs/>
          <w:color w:val="auto"/>
          <w:sz w:val="30"/>
          <w:szCs w:val="30"/>
          <w:highlight w:val="none"/>
          <w:lang w:val="en-US" w:eastAsia="zh-CN" w:bidi="ar-SA"/>
        </w:rPr>
      </w:pPr>
    </w:p>
    <w:p>
      <w:pPr>
        <w:keepNext w:val="0"/>
        <w:keepLines w:val="0"/>
        <w:pageBreakBefore w:val="0"/>
        <w:widowControl w:val="0"/>
        <w:kinsoku/>
        <w:wordWrap/>
        <w:overflowPunct/>
        <w:topLinePunct w:val="0"/>
        <w:bidi w:val="0"/>
        <w:adjustRightInd/>
        <w:snapToGrid w:val="0"/>
        <w:spacing w:line="540" w:lineRule="exact"/>
        <w:textAlignment w:val="auto"/>
        <w:rPr>
          <w:rStyle w:val="11"/>
          <w:rFonts w:hint="eastAsia" w:ascii="黑体" w:hAnsi="黑体" w:eastAsia="黑体" w:cs="黑体"/>
          <w:b w:val="0"/>
          <w:bCs/>
          <w:color w:val="auto"/>
          <w:sz w:val="30"/>
          <w:szCs w:val="30"/>
          <w:highlight w:val="none"/>
          <w:lang w:val="en-US" w:eastAsia="zh-CN" w:bidi="ar-SA"/>
        </w:rPr>
      </w:pPr>
    </w:p>
    <w:p>
      <w:pPr>
        <w:keepNext w:val="0"/>
        <w:keepLines w:val="0"/>
        <w:pageBreakBefore w:val="0"/>
        <w:widowControl w:val="0"/>
        <w:kinsoku/>
        <w:wordWrap/>
        <w:overflowPunct/>
        <w:topLinePunct w:val="0"/>
        <w:bidi w:val="0"/>
        <w:adjustRightInd/>
        <w:snapToGrid w:val="0"/>
        <w:spacing w:line="540" w:lineRule="exact"/>
        <w:textAlignment w:val="auto"/>
        <w:rPr>
          <w:rStyle w:val="11"/>
          <w:rFonts w:hint="eastAsia" w:ascii="黑体" w:hAnsi="黑体" w:eastAsia="黑体" w:cs="黑体"/>
          <w:b w:val="0"/>
          <w:bCs/>
          <w:color w:val="auto"/>
          <w:sz w:val="30"/>
          <w:szCs w:val="30"/>
          <w:highlight w:val="none"/>
          <w:lang w:val="en-US" w:eastAsia="zh-CN" w:bidi="ar-SA"/>
        </w:rPr>
      </w:pPr>
    </w:p>
    <w:p>
      <w:pPr>
        <w:keepNext w:val="0"/>
        <w:keepLines w:val="0"/>
        <w:pageBreakBefore w:val="0"/>
        <w:widowControl w:val="0"/>
        <w:kinsoku/>
        <w:wordWrap/>
        <w:overflowPunct/>
        <w:topLinePunct w:val="0"/>
        <w:bidi w:val="0"/>
        <w:adjustRightInd/>
        <w:snapToGrid w:val="0"/>
        <w:spacing w:line="540" w:lineRule="exact"/>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附件：</w:t>
      </w:r>
    </w:p>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《四川省珍稀特有鱼类保护与利用中心基本存款账户和</w:t>
      </w:r>
    </w:p>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单位零余额存款账户开户比选项目》报名表</w:t>
      </w:r>
    </w:p>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黑体" w:hAnsi="黑体" w:eastAsia="黑体" w:cs="黑体"/>
          <w:b w:val="0"/>
          <w:bCs/>
          <w:color w:val="auto"/>
          <w:sz w:val="30"/>
          <w:szCs w:val="30"/>
          <w:highlight w:val="none"/>
          <w:lang w:val="en-US" w:eastAsia="zh-CN" w:bidi="ar-SA"/>
        </w:rPr>
      </w:pPr>
    </w:p>
    <w:tbl>
      <w:tblPr>
        <w:tblStyle w:val="9"/>
        <w:tblW w:w="982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650"/>
        <w:gridCol w:w="1470"/>
        <w:gridCol w:w="222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50" w:type="dxa"/>
            <w:vAlign w:val="center"/>
          </w:tcPr>
          <w:p>
            <w:pPr>
              <w:keepNext w:val="0"/>
              <w:keepLines w:val="0"/>
              <w:pageBreakBefore w:val="0"/>
              <w:widowControl w:val="0"/>
              <w:kinsoku/>
              <w:wordWrap/>
              <w:overflowPunct/>
              <w:topLinePunct w:val="0"/>
              <w:bidi w:val="0"/>
              <w:adjustRightInd/>
              <w:snapToGrid w:val="0"/>
              <w:spacing w:line="540" w:lineRule="exact"/>
              <w:jc w:val="center"/>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单位名称</w:t>
            </w:r>
          </w:p>
        </w:tc>
        <w:tc>
          <w:tcPr>
            <w:tcW w:w="1650" w:type="dxa"/>
            <w:vAlign w:val="center"/>
          </w:tcPr>
          <w:p>
            <w:pPr>
              <w:keepNext w:val="0"/>
              <w:keepLines w:val="0"/>
              <w:pageBreakBefore w:val="0"/>
              <w:widowControl w:val="0"/>
              <w:kinsoku/>
              <w:wordWrap/>
              <w:overflowPunct/>
              <w:topLinePunct w:val="0"/>
              <w:bidi w:val="0"/>
              <w:adjustRightInd/>
              <w:snapToGrid w:val="0"/>
              <w:spacing w:line="540" w:lineRule="exact"/>
              <w:jc w:val="center"/>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联系人</w:t>
            </w:r>
          </w:p>
        </w:tc>
        <w:tc>
          <w:tcPr>
            <w:tcW w:w="1470" w:type="dxa"/>
            <w:vAlign w:val="center"/>
          </w:tcPr>
          <w:p>
            <w:pPr>
              <w:keepNext w:val="0"/>
              <w:keepLines w:val="0"/>
              <w:pageBreakBefore w:val="0"/>
              <w:widowControl w:val="0"/>
              <w:kinsoku/>
              <w:wordWrap/>
              <w:overflowPunct/>
              <w:topLinePunct w:val="0"/>
              <w:bidi w:val="0"/>
              <w:adjustRightInd/>
              <w:snapToGrid w:val="0"/>
              <w:spacing w:line="540" w:lineRule="exact"/>
              <w:jc w:val="center"/>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联系方式</w:t>
            </w:r>
          </w:p>
        </w:tc>
        <w:tc>
          <w:tcPr>
            <w:tcW w:w="2220" w:type="dxa"/>
            <w:vAlign w:val="center"/>
          </w:tcPr>
          <w:p>
            <w:pPr>
              <w:keepNext w:val="0"/>
              <w:keepLines w:val="0"/>
              <w:pageBreakBefore w:val="0"/>
              <w:widowControl w:val="0"/>
              <w:kinsoku/>
              <w:wordWrap/>
              <w:overflowPunct/>
              <w:topLinePunct w:val="0"/>
              <w:bidi w:val="0"/>
              <w:adjustRightInd/>
              <w:snapToGrid w:val="0"/>
              <w:spacing w:line="540" w:lineRule="exact"/>
              <w:jc w:val="center"/>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单位营业执照</w:t>
            </w:r>
          </w:p>
        </w:tc>
        <w:tc>
          <w:tcPr>
            <w:tcW w:w="2835" w:type="dxa"/>
            <w:vAlign w:val="center"/>
          </w:tcPr>
          <w:p>
            <w:pPr>
              <w:keepNext w:val="0"/>
              <w:keepLines w:val="0"/>
              <w:pageBreakBefore w:val="0"/>
              <w:widowControl w:val="0"/>
              <w:kinsoku/>
              <w:wordWrap/>
              <w:overflowPunct/>
              <w:topLinePunct w:val="0"/>
              <w:bidi w:val="0"/>
              <w:adjustRightInd/>
              <w:snapToGrid w:val="0"/>
              <w:spacing w:line="540" w:lineRule="exact"/>
              <w:jc w:val="center"/>
              <w:textAlignment w:val="auto"/>
              <w:rPr>
                <w:rStyle w:val="11"/>
                <w:rFonts w:hint="eastAsia" w:ascii="黑体" w:hAnsi="黑体" w:eastAsia="黑体" w:cs="黑体"/>
                <w:b w:val="0"/>
                <w:bCs/>
                <w:color w:val="auto"/>
                <w:sz w:val="30"/>
                <w:szCs w:val="30"/>
                <w:highlight w:val="none"/>
                <w:lang w:val="en-US" w:eastAsia="zh-CN" w:bidi="ar-SA"/>
              </w:rPr>
            </w:pPr>
            <w:r>
              <w:rPr>
                <w:rStyle w:val="11"/>
                <w:rFonts w:hint="eastAsia" w:ascii="黑体" w:hAnsi="黑体" w:eastAsia="黑体" w:cs="黑体"/>
                <w:b w:val="0"/>
                <w:bCs/>
                <w:color w:val="auto"/>
                <w:sz w:val="30"/>
                <w:szCs w:val="30"/>
                <w:highlight w:val="none"/>
                <w:lang w:val="en-US" w:eastAsia="zh-CN" w:bidi="ar-SA"/>
              </w:rPr>
              <w:t>其他需要说明情况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65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165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147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222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2835"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65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165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147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2220"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c>
          <w:tcPr>
            <w:tcW w:w="2835" w:type="dxa"/>
            <w:vAlign w:val="center"/>
          </w:tcPr>
          <w:p>
            <w:pPr>
              <w:keepNext w:val="0"/>
              <w:keepLines w:val="0"/>
              <w:pageBreakBefore w:val="0"/>
              <w:widowControl w:val="0"/>
              <w:kinsoku/>
              <w:wordWrap/>
              <w:overflowPunct/>
              <w:topLinePunct w:val="0"/>
              <w:bidi w:val="0"/>
              <w:adjustRightInd/>
              <w:snapToGrid w:val="0"/>
              <w:spacing w:line="540" w:lineRule="exact"/>
              <w:ind w:firstLine="600" w:firstLineChars="200"/>
              <w:jc w:val="center"/>
              <w:textAlignment w:val="auto"/>
              <w:rPr>
                <w:rStyle w:val="11"/>
                <w:rFonts w:hint="eastAsia" w:ascii="仿宋" w:hAnsi="仿宋" w:eastAsia="仿宋" w:cs="仿宋"/>
                <w:b w:val="0"/>
                <w:bCs/>
                <w:color w:val="auto"/>
                <w:sz w:val="30"/>
                <w:szCs w:val="30"/>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20B0604020202020204"/>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30B28"/>
    <w:multiLevelType w:val="singleLevel"/>
    <w:tmpl w:val="0C330B28"/>
    <w:lvl w:ilvl="0" w:tentative="0">
      <w:start w:val="1"/>
      <w:numFmt w:val="chineseCounting"/>
      <w:suff w:val="nothing"/>
      <w:lvlText w:val="%1、"/>
      <w:lvlJc w:val="left"/>
      <w:pPr>
        <w:ind w:left="15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YWMyMmIxZjEyNmFjY2NkMjgyMjIzMjdlYWM5NjcifQ=="/>
  </w:docVars>
  <w:rsids>
    <w:rsidRoot w:val="00000000"/>
    <w:rsid w:val="003B7CA1"/>
    <w:rsid w:val="01B410C8"/>
    <w:rsid w:val="01BA20F3"/>
    <w:rsid w:val="01CC715B"/>
    <w:rsid w:val="034A5312"/>
    <w:rsid w:val="039E11BA"/>
    <w:rsid w:val="03DD1CE2"/>
    <w:rsid w:val="068F128E"/>
    <w:rsid w:val="08575646"/>
    <w:rsid w:val="08CF4F72"/>
    <w:rsid w:val="0904132C"/>
    <w:rsid w:val="0A0124A3"/>
    <w:rsid w:val="0C6236CC"/>
    <w:rsid w:val="0EAC6E81"/>
    <w:rsid w:val="118819B4"/>
    <w:rsid w:val="11EB1794"/>
    <w:rsid w:val="11FA6155"/>
    <w:rsid w:val="12B731D7"/>
    <w:rsid w:val="15D46CBD"/>
    <w:rsid w:val="161D1B46"/>
    <w:rsid w:val="171C4B1C"/>
    <w:rsid w:val="173B5246"/>
    <w:rsid w:val="17457E73"/>
    <w:rsid w:val="18934C0E"/>
    <w:rsid w:val="18980476"/>
    <w:rsid w:val="1ABD5F72"/>
    <w:rsid w:val="1B7E1BA5"/>
    <w:rsid w:val="1C5D7A0C"/>
    <w:rsid w:val="1D0D31E0"/>
    <w:rsid w:val="1FCD30FB"/>
    <w:rsid w:val="20091694"/>
    <w:rsid w:val="20CC5161"/>
    <w:rsid w:val="21F20BF7"/>
    <w:rsid w:val="22431452"/>
    <w:rsid w:val="235D6544"/>
    <w:rsid w:val="2540611D"/>
    <w:rsid w:val="28180C8B"/>
    <w:rsid w:val="28812CD5"/>
    <w:rsid w:val="28A15125"/>
    <w:rsid w:val="292D385A"/>
    <w:rsid w:val="2A297180"/>
    <w:rsid w:val="2A2C6C70"/>
    <w:rsid w:val="2A585CB7"/>
    <w:rsid w:val="2B33613E"/>
    <w:rsid w:val="2B487ADA"/>
    <w:rsid w:val="2B820E4E"/>
    <w:rsid w:val="2CCE400E"/>
    <w:rsid w:val="2D1618F3"/>
    <w:rsid w:val="2D917516"/>
    <w:rsid w:val="30947BC8"/>
    <w:rsid w:val="32625F91"/>
    <w:rsid w:val="327411B4"/>
    <w:rsid w:val="34A51AF9"/>
    <w:rsid w:val="352073D1"/>
    <w:rsid w:val="3620540F"/>
    <w:rsid w:val="36F31F6D"/>
    <w:rsid w:val="375D2B5F"/>
    <w:rsid w:val="378111FC"/>
    <w:rsid w:val="387B504A"/>
    <w:rsid w:val="38887767"/>
    <w:rsid w:val="3984249C"/>
    <w:rsid w:val="39DC7D6B"/>
    <w:rsid w:val="3A145FB0"/>
    <w:rsid w:val="3A72115D"/>
    <w:rsid w:val="3BB72B98"/>
    <w:rsid w:val="3BD258C9"/>
    <w:rsid w:val="3CE37662"/>
    <w:rsid w:val="3DD07BE6"/>
    <w:rsid w:val="3E1D0952"/>
    <w:rsid w:val="3F384955"/>
    <w:rsid w:val="3FCC262F"/>
    <w:rsid w:val="3FD57736"/>
    <w:rsid w:val="41B17D2F"/>
    <w:rsid w:val="453448A4"/>
    <w:rsid w:val="46916381"/>
    <w:rsid w:val="46BD0F24"/>
    <w:rsid w:val="47766D51"/>
    <w:rsid w:val="47B02837"/>
    <w:rsid w:val="4A7D4C52"/>
    <w:rsid w:val="4AB34B18"/>
    <w:rsid w:val="4B3C553D"/>
    <w:rsid w:val="4CAC7A71"/>
    <w:rsid w:val="4EF61477"/>
    <w:rsid w:val="508E6A39"/>
    <w:rsid w:val="50C07F8E"/>
    <w:rsid w:val="510F6820"/>
    <w:rsid w:val="52E141EC"/>
    <w:rsid w:val="546244EA"/>
    <w:rsid w:val="567C359D"/>
    <w:rsid w:val="56960D24"/>
    <w:rsid w:val="56EA18C1"/>
    <w:rsid w:val="57003F9B"/>
    <w:rsid w:val="57D52571"/>
    <w:rsid w:val="58AC2BA6"/>
    <w:rsid w:val="59CD7278"/>
    <w:rsid w:val="59DE5D07"/>
    <w:rsid w:val="59FE1BBB"/>
    <w:rsid w:val="5ABA5A4E"/>
    <w:rsid w:val="5AEA43E1"/>
    <w:rsid w:val="5B4F35CB"/>
    <w:rsid w:val="5C161EB9"/>
    <w:rsid w:val="5CC26E3C"/>
    <w:rsid w:val="5CE40B61"/>
    <w:rsid w:val="5DE850B2"/>
    <w:rsid w:val="5FA07B9E"/>
    <w:rsid w:val="5FF23595"/>
    <w:rsid w:val="6037544B"/>
    <w:rsid w:val="603C3B9C"/>
    <w:rsid w:val="619012B7"/>
    <w:rsid w:val="61AD3C17"/>
    <w:rsid w:val="62913539"/>
    <w:rsid w:val="655348A3"/>
    <w:rsid w:val="65C21C5B"/>
    <w:rsid w:val="66FA7EC8"/>
    <w:rsid w:val="670C13E0"/>
    <w:rsid w:val="686D08E4"/>
    <w:rsid w:val="68A936AD"/>
    <w:rsid w:val="68EF2D67"/>
    <w:rsid w:val="6AA61B4B"/>
    <w:rsid w:val="6AB37DC4"/>
    <w:rsid w:val="6D27434E"/>
    <w:rsid w:val="6D6D3792"/>
    <w:rsid w:val="6EAA5BD1"/>
    <w:rsid w:val="6ECE6F00"/>
    <w:rsid w:val="6F80296B"/>
    <w:rsid w:val="6FAC1340"/>
    <w:rsid w:val="71121CE9"/>
    <w:rsid w:val="718D136F"/>
    <w:rsid w:val="719646C8"/>
    <w:rsid w:val="719D5FAA"/>
    <w:rsid w:val="72345C8F"/>
    <w:rsid w:val="7238752D"/>
    <w:rsid w:val="730E64E0"/>
    <w:rsid w:val="74FD77A1"/>
    <w:rsid w:val="75F61BD9"/>
    <w:rsid w:val="78047EB1"/>
    <w:rsid w:val="78BD050A"/>
    <w:rsid w:val="7A635AB5"/>
    <w:rsid w:val="7A747570"/>
    <w:rsid w:val="7ACF3EBC"/>
    <w:rsid w:val="7B305F7C"/>
    <w:rsid w:val="7D1B7ADC"/>
    <w:rsid w:val="7D621902"/>
    <w:rsid w:val="7E27732C"/>
    <w:rsid w:val="7E63541B"/>
    <w:rsid w:val="7F82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3"/>
    <w:next w:val="1"/>
    <w:qFormat/>
    <w:uiPriority w:val="0"/>
    <w:pPr>
      <w:keepNext/>
      <w:keepLines/>
      <w:spacing w:before="260" w:after="260" w:line="416" w:lineRule="auto"/>
      <w:outlineLvl w:val="1"/>
    </w:pPr>
    <w:rPr>
      <w:rFonts w:ascii="Arial" w:hAnsi="Arial" w:eastAsia="黑体"/>
      <w:b w:val="0"/>
      <w:bCs w:val="0"/>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5">
    <w:name w:val="Body Text"/>
    <w:basedOn w:val="1"/>
    <w:next w:val="1"/>
    <w:qFormat/>
    <w:uiPriority w:val="0"/>
    <w:pPr>
      <w:spacing w:after="120"/>
    </w:p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rFonts w:cs="Times New Roman"/>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1363</Words>
  <Characters>1453</Characters>
  <Lines>0</Lines>
  <Paragraphs>0</Paragraphs>
  <TotalTime>1</TotalTime>
  <ScaleCrop>false</ScaleCrop>
  <LinksUpToDate>false</LinksUpToDate>
  <CharactersWithSpaces>1461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2021-11-24T06:57:00Z</dcterms:created>
  <dc:creator>tyl</dc:creator>
  <cp:lastModifiedBy>方格子</cp:lastModifiedBy>
  <cp:lastPrinted>2022-05-20T01:16:00Z</cp:lastPrinted>
  <dcterms:modified xsi:type="dcterms:W3CDTF">2022-05-20T08:53:52Z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83EEF8233D4445B0B389AF3BC2C3E781</vt:lpwstr>
  </property>
</Properties>
</file>